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8"/>
        <w:gridCol w:w="4744"/>
      </w:tblGrid>
      <w:tr w:rsidR="00603D22" w:rsidRPr="00603D22" w:rsidTr="00603D22">
        <w:trPr>
          <w:trHeight w:val="664"/>
        </w:trPr>
        <w:tc>
          <w:tcPr>
            <w:tcW w:w="4648" w:type="dxa"/>
          </w:tcPr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RETE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NAZIONALE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DELLE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PROFESSIONI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DELL’AREA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TECNICA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SCIENTIFICA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–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STATUTO</w:t>
            </w:r>
            <w:r w:rsidRPr="00603D22">
              <w:rPr>
                <w:rFonts w:ascii="Garamond" w:hAnsi="Garamond"/>
              </w:rPr>
              <w:br/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  <w:b/>
              </w:rPr>
            </w:pPr>
            <w:r w:rsidRPr="00603D22">
              <w:rPr>
                <w:rFonts w:ascii="Garamond" w:hAnsi="Garamond"/>
                <w:b/>
              </w:rPr>
              <w:t>(Denominazione – Sede)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regolamentate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sensi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articoli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seguenti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codice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civile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denominata: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“Rete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Scientifica”,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più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brevemente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“RETE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TECNICHE”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Roma.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piena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facoltà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istituire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ovunque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uffici,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sopprimerli.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2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(D</w:t>
            </w:r>
            <w:r>
              <w:rPr>
                <w:rStyle w:val="Enfasigrassetto"/>
                <w:rFonts w:ascii="Garamond" w:hAnsi="Garamond"/>
              </w:rPr>
              <w:t>urata</w:t>
            </w:r>
            <w:r w:rsidRPr="00603D22">
              <w:rPr>
                <w:rStyle w:val="Enfasigrassetto"/>
                <w:rFonts w:ascii="Garamond" w:hAnsi="Garamond"/>
              </w:rPr>
              <w:t>)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30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durata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31dicembre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2100,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proroghe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scioglimento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anticipato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modalità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dall’art.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8.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3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(Scopo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oggetto)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scopo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lucro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conformità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oltre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rispetto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dell’autonomia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decisionale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operativa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relativi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profili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specifica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competenza,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propone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seguenti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finalità: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livello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istituzionale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scientifiche,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assicurando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adeguata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ruolo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preminente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contesto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economico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sociale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operano;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b)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incentivare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l’utilizzo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conoscenze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settore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nell’intero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territorio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affinché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attività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riconducibili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principi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sviluppo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sostenibile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bioeconomia;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c)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l’integrazione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società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civile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rispondere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sollecitamente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tutte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esigenza;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d)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elaborare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principi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etici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deontologici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e)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fornire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consulenza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assistenza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lastRenderedPageBreak/>
              <w:t>f)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politiche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globali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riguardanti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costruzioni,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l’ambiente,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paesaggio,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territorio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trasformazioni,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risorse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beni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naturali,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rischi,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sicurezza,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l’agricoltura,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l’alimentazione;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g)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interprofessionale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formazione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base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l’aggiornamento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continuo,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relazione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rapporti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accademico;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h)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autoregolamentazione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competenze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mediante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tavolo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permanente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concertazione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arbitrato;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i) rappresentare, per competenza, il settore delle professioni tecniche e scientifiche, nei limiti del presente Statuto, nei confronti delle istituzioni e amministrazioni, delle organizzazioni economiche, politiche, sindacali e sociali, incluse le associazioni di categoria relative a professioni non appartenenti all’area tecnica scientifica;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j)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organizzare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conferenze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simposi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ogni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utile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diffondere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conoscenze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diversi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settori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competenza;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k)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creare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condizioni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reciproco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sostegno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proficua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collaborazione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ricerca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tecnologica,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attraverso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studi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commissioni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hoc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eventualmente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Studi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l)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livello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legislativo,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l’innovazione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normativa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settore.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aderire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internazionali,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analoghe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lastRenderedPageBreak/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partecipazione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previdenza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rispettivi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soggetti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studio,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ricerca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diffusione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patrimonio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culturale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scientifiche.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4(Associati)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aderenti.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tenuti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rendere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indirizzi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ispirata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propria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attività,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qualora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riferisca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pertanto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l’obbligo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osservare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domande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ammissione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nuovi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indirizzate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L’ammissione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rapporto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decorre,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effetti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contributivi,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semestre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avvenuta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l’ammissione.</w:t>
            </w:r>
            <w:r w:rsidRPr="00603D22">
              <w:rPr>
                <w:rFonts w:ascii="Garamond" w:hAnsi="Garamond"/>
              </w:rPr>
              <w:br/>
              <w:t>6.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Ogni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esercitare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recesso,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dichiarazione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comunicare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mediante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garantiscano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dell’avvenuto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ricevimento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effetto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</w:t>
            </w:r>
            <w:r>
              <w:rPr>
                <w:rFonts w:ascii="Garamond" w:hAnsi="Garamond"/>
              </w:rPr>
              <w:t xml:space="preserve"> i</w:t>
            </w:r>
            <w:r w:rsidRPr="00603D22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corso,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comunicato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contrario,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7.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L’esclusione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motivi.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particolare,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costituiscono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esclusione: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qualsiasi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violazione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Organi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obblighi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scaturiscono;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perseguimento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conflitto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Associazione;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inadempimenti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obblighi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contributivi.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L’esclusione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effetto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immediato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comunicata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all’Associato,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15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mediante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garantiscano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dell’avvenuto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ricevimento.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8.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receduto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escluso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conservando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l’obbligo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versare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quote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maturate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dell’esclusione.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lastRenderedPageBreak/>
              <w:t>9.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trasmissibile.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9F039A" w:rsidRDefault="009F039A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9F039A" w:rsidRDefault="009F039A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(Organi)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organi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Associazione: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b)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c)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d)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e)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Tutte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gratuite,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rimborso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sostenute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svolgimento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dell’incarico,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modalità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stabilite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approvato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partecipazione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rimborso.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(Assemblea)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pagamento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assistere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convocata,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luogo,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ritenga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opportuno,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richiesta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terzo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argomenti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trattare,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ogni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previsto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legge,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mediante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avviso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inviare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garantiscano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dell’avvenuto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ricevimento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dieci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urgenza.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ultimi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dovrà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avvenire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l’Assemblea.</w:t>
            </w:r>
            <w:r w:rsidRPr="00603D22">
              <w:rPr>
                <w:rFonts w:ascii="Garamond" w:hAnsi="Garamond"/>
              </w:rPr>
              <w:br/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Nell’avviso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riportati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l’ora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stabilite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riunione,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luogo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stessa.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Nell’avviso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dell’eventuale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presieduta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più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anziano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età.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quest’ultimo,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presieduta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quest’ultimo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lastRenderedPageBreak/>
              <w:t>nomina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proprio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Coordinatore.</w:t>
            </w:r>
            <w:r w:rsidRPr="00603D22">
              <w:rPr>
                <w:rFonts w:ascii="Garamond" w:hAnsi="Garamond"/>
              </w:rPr>
              <w:br/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riunioni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redigersi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verbale,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l’eventuale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assistenza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incaricato,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sottoscritto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6.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(Assemblea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ordinaria)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ordinaria: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approva,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termine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preventivo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annuale,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redatto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-Tesoriere;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b)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approva,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termine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consuntivo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l’ammontare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dovuti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c)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merito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speciali,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relativo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ammontare,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dovuti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fronte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quali: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amministrative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studi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fondazioni.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d)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merito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indirizzi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strategici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all’adesione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soggetti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dell’articolo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articolo;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e)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elegge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f)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elegge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g)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definisce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tematiche;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h)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elegge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i)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nomina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j)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sull’ammissione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sull’esclusione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k)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nell’ambito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scopi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direttive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dell’attività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tutti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poteri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l</w:t>
            </w:r>
            <w:r w:rsidRPr="00603D22">
              <w:rPr>
                <w:rFonts w:ascii="Garamond" w:hAnsi="Garamond"/>
              </w:rPr>
              <w:t>e·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attribuzioni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gestione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l)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materie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competenza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disposizioni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legge.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  <w:b w:val="0"/>
                <w:bCs w:val="0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volta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l’anno,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chiusura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l’approvazione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consuntivo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redatto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Tesoriere.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altresì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31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ottobre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lastRenderedPageBreak/>
              <w:t>l’approvazione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preventivo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successivo.</w:t>
            </w:r>
          </w:p>
          <w:p w:rsidR="009F039A" w:rsidRDefault="009F039A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9F039A" w:rsidRDefault="009F039A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9F039A" w:rsidRDefault="009F039A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9F039A" w:rsidRDefault="009F039A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9F039A" w:rsidRDefault="009F039A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(Assemblea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straordinaria)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30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modifiche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statutarie,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proroga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scioglimento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anticipato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9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(Voti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–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Costituzione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dell’Assemblea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–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Validità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delle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deliberazioni)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esprimere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validamente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voto;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approvate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favorevole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maggioranza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favorevole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tanti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rappresentino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votazioni,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normalmente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alzata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mano,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sempreché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semplice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maggioranza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disponga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diversamente,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decisione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prendersi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alzata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mano.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scritta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rilasciata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all’uopo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proprio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contenente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espressa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persona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delegata,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conservarsi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parte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conferita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singole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effetto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10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(Coordinatore)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aderenti.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decade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scadenza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qualsiasi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causa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lastRenderedPageBreak/>
              <w:t>Collegio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appartenenza.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esprime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all’esterno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posizione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pensiero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sentiti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specifici,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afferenti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delegherà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esprimere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all’esterno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posizione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pensiero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corrispondente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sottoporre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all’esame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presiede,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firma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giudizio,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11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(Referenti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d’Area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tematica,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Segretario-Tesoriere)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vengono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definite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conseguentemente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aderenti.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durano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decadono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stabilito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all’articolo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10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sostituito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anzianità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età,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svolge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funzione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verbalizzazione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adunanze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sottoscrive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verbali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insieme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tenuta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libri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verbali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libro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gestione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contabilità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Redige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l’inventario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beni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vigila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regolarità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riscossioni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(Revisore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dei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conti)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nominato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revocato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giusta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causa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rieleggibile.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L’emolumento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dall’Assemblea.</w:t>
            </w:r>
          </w:p>
          <w:p w:rsidR="00603D22" w:rsidRPr="009F039A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  <w:b w:val="0"/>
                <w:bCs w:val="0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vigila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sull’andamento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gestione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economica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finanziaria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riferisce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relazione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consuntivo.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lastRenderedPageBreak/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13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(Fondo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comune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–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Contributi)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norma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legge.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L’esercizio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corrispondente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solare.</w:t>
            </w:r>
            <w:r>
              <w:rPr>
                <w:rFonts w:ascii="Garamond" w:hAnsi="Garamond"/>
              </w:rPr>
              <w:t xml:space="preserve"> 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Ogni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tenuto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corresponsione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annuale.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L’ammontare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complessivo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stabilito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precedentemente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occasione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dell’approvazione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preventivo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all’articolo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art.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7,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1,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lett.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così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ripartito:</w:t>
            </w:r>
            <w:r w:rsidRPr="00603D22">
              <w:rPr>
                <w:rFonts w:ascii="Garamond" w:hAnsi="Garamond"/>
              </w:rPr>
              <w:br/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quaranta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(40%)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complessivo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annuo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ripartito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quote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uguali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tutti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Associati;</w:t>
            </w:r>
            <w:r w:rsidRPr="00603D22">
              <w:rPr>
                <w:rFonts w:ascii="Garamond" w:hAnsi="Garamond"/>
              </w:rPr>
              <w:br/>
              <w:t>b)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sessanta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(60%)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ripartito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funzione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numero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rispettivi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iscritti,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viene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rilevato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31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dicembre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dell’esercizio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versamento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speciali,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ripartizione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avviene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criteri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accettare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erogati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sostenere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l’attività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istituzionale.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6.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quote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riscossi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norma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trasmissibili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soggetti.</w:t>
            </w:r>
          </w:p>
          <w:p w:rsidR="00603D22" w:rsidRPr="00603D22" w:rsidRDefault="00603D22" w:rsidP="00603D22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lastRenderedPageBreak/>
              <w:t>RETE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NAZIONALE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DELLE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PROFESSIONI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DELL’AREA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TECNICA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SCIENTIFICA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–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STATUTO</w:t>
            </w:r>
            <w:r w:rsidRPr="00603D22">
              <w:rPr>
                <w:rFonts w:ascii="Garamond" w:hAnsi="Garamond"/>
              </w:rPr>
              <w:br/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  <w:b/>
              </w:rPr>
            </w:pPr>
            <w:r w:rsidRPr="00603D22">
              <w:rPr>
                <w:rFonts w:ascii="Garamond" w:hAnsi="Garamond"/>
                <w:b/>
              </w:rPr>
              <w:t>(Denominazione – Sede)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regolamentate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sensi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articoli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seguenti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codice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civile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denominata: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“Rete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Scientifica”,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più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brevemente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“RETE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TECNICHE”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Roma.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piena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facoltà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istituire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ovunque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uffici,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sopprimerli.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2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(D</w:t>
            </w:r>
            <w:r>
              <w:rPr>
                <w:rStyle w:val="Enfasigrassetto"/>
                <w:rFonts w:ascii="Garamond" w:hAnsi="Garamond"/>
              </w:rPr>
              <w:t>urata</w:t>
            </w:r>
            <w:r w:rsidRPr="00603D22">
              <w:rPr>
                <w:rStyle w:val="Enfasigrassetto"/>
                <w:rFonts w:ascii="Garamond" w:hAnsi="Garamond"/>
              </w:rPr>
              <w:t>)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30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durata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31dicembre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2100,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proroghe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scioglimento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anticipato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modalità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dall’art.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8.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3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(Scopo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oggetto)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scopo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lucro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conformità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oltre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rispetto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dell’autonomia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decisionale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operativa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relativi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profili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specifica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competenza,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propone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seguenti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finalità: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livello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istituzionale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scientifiche,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assicurando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adeguata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ruolo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preminente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contesto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economico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sociale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operano;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b)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incentivare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l’utilizzo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conoscenze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settore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nell’intero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territorio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affinché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attività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riconducibili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="005931B8" w:rsidRPr="009F039A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principi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sviluppo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sostenibile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bioeconomia;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c)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l’integrazione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società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civile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rispondere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sollecitamente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tutte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esigenza;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d)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elaborare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principi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etici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deontologici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e)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fornire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consulenza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assistenza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 w:rsidR="009F039A">
              <w:rPr>
                <w:rFonts w:ascii="Garamond" w:hAnsi="Garamond"/>
              </w:rPr>
              <w:t xml:space="preserve"> </w:t>
            </w:r>
            <w:r w:rsidR="009F039A" w:rsidRPr="009F039A">
              <w:rPr>
                <w:rFonts w:ascii="Garamond" w:hAnsi="Garamond"/>
                <w:highlight w:val="green"/>
              </w:rPr>
              <w:t>ovvero a soggetti terzi</w:t>
            </w:r>
            <w:r w:rsidRPr="00603D22">
              <w:rPr>
                <w:rFonts w:ascii="Garamond" w:hAnsi="Garamond"/>
              </w:rPr>
              <w:t>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lastRenderedPageBreak/>
              <w:t>f)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politiche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globali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riguardanti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costruzioni,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l’ambiente,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paesaggio,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territorio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trasformazioni,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risorse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beni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naturali,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rischi,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sicurezza,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l’agricoltura,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l’alimentazione;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g)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interprofessionale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formazione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base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l’aggiornamento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continuo,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relazione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rapporti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accademico;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h)</w:t>
            </w:r>
            <w:r>
              <w:rPr>
                <w:rFonts w:ascii="Garamond" w:hAnsi="Garamond"/>
              </w:rPr>
              <w:t xml:space="preserve"> </w:t>
            </w:r>
            <w:r w:rsidRPr="009F039A">
              <w:rPr>
                <w:rFonts w:ascii="Garamond" w:hAnsi="Garamond"/>
              </w:rPr>
              <w:t>promuovere la regolazione ed autoregolamentazione delle competenze professionali anche mediante un tavolo permanente di concertazione e arbitrato;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proofErr w:type="gramStart"/>
            <w:r w:rsidRPr="009F039A">
              <w:rPr>
                <w:rFonts w:ascii="Garamond" w:hAnsi="Garamond"/>
                <w:b/>
              </w:rPr>
              <w:t>h</w:t>
            </w:r>
            <w:proofErr w:type="gramEnd"/>
            <w:r w:rsidRPr="009F039A">
              <w:rPr>
                <w:rFonts w:ascii="Garamond" w:hAnsi="Garamond"/>
                <w:b/>
              </w:rPr>
              <w:t xml:space="preserve"> bis)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  <w:highlight w:val="yellow"/>
              </w:rPr>
              <w:t xml:space="preserve">promuovere </w:t>
            </w:r>
            <w:r w:rsidR="00A84750" w:rsidRPr="009F039A">
              <w:rPr>
                <w:rFonts w:ascii="Garamond" w:hAnsi="Garamond"/>
                <w:highlight w:val="yellow"/>
              </w:rPr>
              <w:t xml:space="preserve">strumenti </w:t>
            </w:r>
            <w:r w:rsidR="009F039A">
              <w:rPr>
                <w:rFonts w:ascii="Garamond" w:hAnsi="Garamond"/>
                <w:highlight w:val="yellow"/>
              </w:rPr>
              <w:t xml:space="preserve">negoziali </w:t>
            </w:r>
            <w:r w:rsidR="00A84750" w:rsidRPr="009F039A">
              <w:rPr>
                <w:rFonts w:ascii="Garamond" w:hAnsi="Garamond"/>
                <w:highlight w:val="yellow"/>
              </w:rPr>
              <w:t>di</w:t>
            </w:r>
            <w:r w:rsidRPr="009F039A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 xml:space="preserve">risoluzione delle eventuali controversie tra l’Associazione e </w:t>
            </w:r>
            <w:r w:rsidR="009F039A">
              <w:rPr>
                <w:rFonts w:ascii="Garamond" w:hAnsi="Garamond"/>
                <w:highlight w:val="yellow"/>
              </w:rPr>
              <w:t xml:space="preserve">i </w:t>
            </w:r>
            <w:r>
              <w:rPr>
                <w:rFonts w:ascii="Garamond" w:hAnsi="Garamond"/>
                <w:highlight w:val="yellow"/>
              </w:rPr>
              <w:t>terzi, tra l’Associazione e gli associati</w:t>
            </w:r>
            <w:r w:rsidR="005931B8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nonché tra questi ultimi</w:t>
            </w:r>
            <w:r w:rsidR="009F039A">
              <w:rPr>
                <w:rFonts w:ascii="Garamond" w:hAnsi="Garamond"/>
                <w:highlight w:val="yellow"/>
              </w:rPr>
              <w:t>, sia</w:t>
            </w:r>
            <w:r>
              <w:rPr>
                <w:rFonts w:ascii="Garamond" w:hAnsi="Garamond"/>
                <w:highlight w:val="yellow"/>
              </w:rPr>
              <w:t xml:space="preserve"> tra loro </w:t>
            </w:r>
            <w:r w:rsidR="009F039A">
              <w:rPr>
                <w:rFonts w:ascii="Garamond" w:hAnsi="Garamond"/>
                <w:highlight w:val="yellow"/>
              </w:rPr>
              <w:t xml:space="preserve">che </w:t>
            </w:r>
            <w:r>
              <w:rPr>
                <w:rFonts w:ascii="Garamond" w:hAnsi="Garamond"/>
                <w:highlight w:val="yellow"/>
              </w:rPr>
              <w:t>verso terzi</w:t>
            </w:r>
            <w:r w:rsidR="009F039A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attraverso appositi strumenti di mediazione, conciliazione ovvero arbitrali, anche istituendo apposite strutture a ciò destinate, disciplinandole con apposito regolamento</w:t>
            </w:r>
            <w:r w:rsidRPr="00603D22">
              <w:rPr>
                <w:rFonts w:ascii="Garamond" w:hAnsi="Garamond"/>
                <w:highlight w:val="yellow"/>
              </w:rPr>
              <w:t>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  <w:highlight w:val="yellow"/>
              </w:rPr>
              <w:t>i) rappresentare</w:t>
            </w:r>
            <w:r w:rsidR="009F039A">
              <w:rPr>
                <w:rFonts w:ascii="Garamond" w:hAnsi="Garamond"/>
                <w:highlight w:val="yellow"/>
              </w:rPr>
              <w:t xml:space="preserve"> e tutelare</w:t>
            </w:r>
            <w:r w:rsidRPr="00603D22">
              <w:rPr>
                <w:rFonts w:ascii="Garamond" w:hAnsi="Garamond"/>
                <w:highlight w:val="yellow"/>
              </w:rPr>
              <w:t xml:space="preserve">, per competenza, </w:t>
            </w:r>
            <w:r>
              <w:rPr>
                <w:rFonts w:ascii="Garamond" w:hAnsi="Garamond"/>
                <w:highlight w:val="yellow"/>
              </w:rPr>
              <w:t xml:space="preserve">in ogni sede, anche in giudizio, i diritti e gli interessi propri, degli associati e del </w:t>
            </w:r>
            <w:r w:rsidRPr="00603D22">
              <w:rPr>
                <w:rFonts w:ascii="Garamond" w:hAnsi="Garamond"/>
                <w:highlight w:val="yellow"/>
              </w:rPr>
              <w:t>settore delle professioni tecniche e scientifiche</w:t>
            </w:r>
            <w:r>
              <w:rPr>
                <w:rFonts w:ascii="Garamond" w:hAnsi="Garamond"/>
                <w:highlight w:val="yellow"/>
              </w:rPr>
              <w:t xml:space="preserve"> in generale. Ciò</w:t>
            </w:r>
            <w:r w:rsidRPr="00603D22">
              <w:rPr>
                <w:rFonts w:ascii="Garamond" w:hAnsi="Garamond"/>
                <w:highlight w:val="yellow"/>
              </w:rPr>
              <w:t xml:space="preserve"> nei limiti del presente Statuto, nei confronti delle istituzioni e amministrazioni, delle organizzazioni economiche, politiche, sindacali e sociali, incluse le associazioni di categoria relative a professioni non appartenenti all’area tecnica scientifica;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j)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organizzare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conferenze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simposi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ogni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utile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diffondere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conoscenze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diversi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settori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competenza;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k)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creare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condizioni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reciproco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sostegno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proficua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collaborazione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ricerca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tecnologica,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attraverso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studi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commissioni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hoc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eventualmente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Studi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l)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livello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legislativo,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l’innovazione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normativa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settore.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  <w:highlight w:val="yellow"/>
              </w:rPr>
              <w:t xml:space="preserve">2. L’Associazione può </w:t>
            </w:r>
            <w:r>
              <w:rPr>
                <w:rFonts w:ascii="Garamond" w:hAnsi="Garamond"/>
                <w:highlight w:val="yellow"/>
              </w:rPr>
              <w:t>promuovere</w:t>
            </w:r>
            <w:r w:rsidR="00327998">
              <w:rPr>
                <w:rFonts w:ascii="Garamond" w:hAnsi="Garamond"/>
                <w:highlight w:val="yellow"/>
              </w:rPr>
              <w:t xml:space="preserve"> o riconoscere</w:t>
            </w:r>
            <w:r>
              <w:rPr>
                <w:rFonts w:ascii="Garamond" w:hAnsi="Garamond"/>
                <w:highlight w:val="yellow"/>
              </w:rPr>
              <w:t xml:space="preserve"> articolazioni locali e regionali, da disciplinare con apposito regolamento, </w:t>
            </w:r>
            <w:r w:rsidRPr="00603D22">
              <w:rPr>
                <w:rFonts w:ascii="Garamond" w:hAnsi="Garamond"/>
                <w:highlight w:val="yellow"/>
              </w:rPr>
              <w:t xml:space="preserve">aderire ad altre associazioni o enti, nazionali e internazionali, aventi finalità analoghe a quelle </w:t>
            </w:r>
            <w:r>
              <w:rPr>
                <w:rFonts w:ascii="Garamond" w:hAnsi="Garamond"/>
                <w:highlight w:val="yellow"/>
              </w:rPr>
              <w:t>i</w:t>
            </w:r>
            <w:r w:rsidRPr="00603D22">
              <w:rPr>
                <w:rFonts w:ascii="Garamond" w:hAnsi="Garamond"/>
                <w:highlight w:val="yellow"/>
              </w:rPr>
              <w:t>ndicate al comma precedente</w:t>
            </w:r>
            <w:r>
              <w:rPr>
                <w:rFonts w:ascii="Garamond" w:hAnsi="Garamond"/>
                <w:highlight w:val="yellow"/>
              </w:rPr>
              <w:t xml:space="preserve"> ovvero </w:t>
            </w:r>
            <w:r w:rsidR="00327998">
              <w:rPr>
                <w:rFonts w:ascii="Garamond" w:hAnsi="Garamond"/>
                <w:highlight w:val="yellow"/>
              </w:rPr>
              <w:t xml:space="preserve">costituire od </w:t>
            </w:r>
            <w:r>
              <w:rPr>
                <w:rFonts w:ascii="Garamond" w:hAnsi="Garamond"/>
                <w:highlight w:val="yellow"/>
              </w:rPr>
              <w:t xml:space="preserve">assumere partecipazioni o cointeressenze in enti e società di ogni tipo, </w:t>
            </w:r>
            <w:r w:rsidR="009F039A">
              <w:rPr>
                <w:rFonts w:ascii="Garamond" w:hAnsi="Garamond"/>
                <w:highlight w:val="yellow"/>
              </w:rPr>
              <w:t>strumentali al perseguimento dei fini descritti da</w:t>
            </w:r>
            <w:r>
              <w:rPr>
                <w:rFonts w:ascii="Garamond" w:hAnsi="Garamond"/>
                <w:highlight w:val="yellow"/>
              </w:rPr>
              <w:t>l presente statuto</w:t>
            </w:r>
            <w:r w:rsidRPr="00603D22">
              <w:rPr>
                <w:rFonts w:ascii="Garamond" w:hAnsi="Garamond"/>
                <w:highlight w:val="yellow"/>
              </w:rPr>
              <w:t>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lastRenderedPageBreak/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promuovere,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partecipazione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previdenza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rispettivi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soggetti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  <w:highlight w:val="yellow"/>
              </w:rPr>
              <w:t xml:space="preserve">o altri </w:t>
            </w:r>
            <w:r w:rsidR="00AA1826" w:rsidRPr="009F039A">
              <w:rPr>
                <w:rFonts w:ascii="Garamond" w:hAnsi="Garamond"/>
                <w:highlight w:val="yellow"/>
              </w:rPr>
              <w:t>soggetti</w:t>
            </w:r>
            <w:r w:rsidRPr="00603D22">
              <w:rPr>
                <w:rFonts w:ascii="Garamond" w:hAnsi="Garamond"/>
                <w:highlight w:val="yellow"/>
              </w:rPr>
              <w:t xml:space="preserve"> giuridici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studio,</w:t>
            </w:r>
            <w:r>
              <w:rPr>
                <w:rFonts w:ascii="Garamond" w:hAnsi="Garamond"/>
              </w:rPr>
              <w:t xml:space="preserve"> </w:t>
            </w:r>
            <w:r w:rsidR="009F039A" w:rsidRPr="009F039A">
              <w:rPr>
                <w:rFonts w:ascii="Garamond" w:hAnsi="Garamond"/>
                <w:highlight w:val="yellow"/>
              </w:rPr>
              <w:t>formazione</w:t>
            </w:r>
            <w:r w:rsidR="009F039A">
              <w:rPr>
                <w:rFonts w:ascii="Garamond" w:hAnsi="Garamond"/>
              </w:rPr>
              <w:t xml:space="preserve">, </w:t>
            </w:r>
            <w:r w:rsidRPr="00603D22">
              <w:rPr>
                <w:rFonts w:ascii="Garamond" w:hAnsi="Garamond"/>
              </w:rPr>
              <w:t>ricerca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diffusione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patrimonio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culturale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scientifiche.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4(Associati)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aderenti.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tenuti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rendere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indirizzi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ispirata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propria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attività,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qualora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riferisca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scientifica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pertanto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l’obbligo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osservare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domande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ammissione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nuovi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indirizzate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L’ammissione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rapporto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decorre,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effetti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contributivi,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semestre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avvenuta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l’ammissione.</w:t>
            </w:r>
            <w:r w:rsidRPr="00603D22">
              <w:rPr>
                <w:rFonts w:ascii="Garamond" w:hAnsi="Garamond"/>
              </w:rPr>
              <w:br/>
              <w:t>6.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Ogni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esercitare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recesso,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dichiarazione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comunicare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mediante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garantiscano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dell’avvenuto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ricevimento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effetto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</w:t>
            </w:r>
            <w:r>
              <w:rPr>
                <w:rFonts w:ascii="Garamond" w:hAnsi="Garamond"/>
              </w:rPr>
              <w:t xml:space="preserve"> i</w:t>
            </w:r>
            <w:r w:rsidRPr="00603D22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corso,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comunicato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contrario,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7.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L’esclusione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motivi.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particolare,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costituiscono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esclusione: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qualsiasi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violazione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Organi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obblighi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scaturiscono;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perseguimento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conflitto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interessi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Associazione;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inadempimenti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obblighi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contributivi.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L’esclusione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effetto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immediato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comunicata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all’Associato,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15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mediante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garantiscano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dell’avvenuto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ricevimento.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8.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receduto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escluso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conservando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l’obbligo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lastRenderedPageBreak/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versare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quote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maturate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recesso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dell’esclusione.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9.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trasmissibile.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(Organi)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organi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Associazione: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b)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c)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d)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e)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Tutte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gratuite,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rimborso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sostenute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svolgimento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dell’incarico,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modalità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stabilite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approvato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partecipazione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rimborso.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(Assemblea)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pagamento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assistere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convocata,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luogo,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ritenga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opportuno,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richiesta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terzo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argomenti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trattare,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ogni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previsto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legge,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mediante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avviso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inviare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garantiscano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dell’avvenuto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ricevimento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dieci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urgenza.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ultimi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dovrà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avvenire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l’Assemblea.</w:t>
            </w:r>
            <w:r w:rsidRPr="00603D22">
              <w:rPr>
                <w:rFonts w:ascii="Garamond" w:hAnsi="Garamond"/>
              </w:rPr>
              <w:br/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Nell’avviso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riportati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giorno,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l’ora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stabilite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riunione,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luogo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stessa.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Nell’avviso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dell’eventuale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presieduta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più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anziano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età.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quest’ultimo,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presieduta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quest’ultimo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lastRenderedPageBreak/>
              <w:t>nomina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proprio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Coordinatore.</w:t>
            </w:r>
            <w:r w:rsidRPr="00603D22">
              <w:rPr>
                <w:rFonts w:ascii="Garamond" w:hAnsi="Garamond"/>
              </w:rPr>
              <w:br/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riunioni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redigersi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verbale,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l’eventuale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assistenza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incaricato,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sottoscritto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6.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(Assemblea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ordinaria)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ordinaria: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approva,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termine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preventivo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annuale,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redatto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-Tesoriere;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b)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approva,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termine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consuntivo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l’ammontare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dovuti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c)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merito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speciali,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relativo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ammontare,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dovuti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fronte</w:t>
            </w:r>
            <w:r>
              <w:rPr>
                <w:rFonts w:ascii="Garamond" w:hAnsi="Garamond"/>
              </w:rPr>
              <w:t xml:space="preserve"> </w:t>
            </w:r>
            <w:r w:rsidR="009F039A" w:rsidRPr="009F039A">
              <w:rPr>
                <w:rFonts w:ascii="Garamond" w:hAnsi="Garamond"/>
                <w:highlight w:val="green"/>
              </w:rPr>
              <w:t>ad eventuali mancati versamenti da parte di uno o più associati</w:t>
            </w:r>
            <w:r w:rsidR="009F039A">
              <w:rPr>
                <w:rFonts w:ascii="Garamond" w:hAnsi="Garamond"/>
              </w:rPr>
              <w:t xml:space="preserve"> o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quali: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amministrative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studi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fondazioni.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d)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merito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indirizzi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strategici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all’adesione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soggetti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dell’articolo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stesso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articolo;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e)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elegge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f)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elegge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g)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definisce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tematiche;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h)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elegge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i)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nomina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j)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sull’ammissione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sull’esclusione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k)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nell’ambito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scopi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direttive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dell’attività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tutti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poteri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l</w:t>
            </w:r>
            <w:r w:rsidRPr="00603D22">
              <w:rPr>
                <w:rFonts w:ascii="Garamond" w:hAnsi="Garamond"/>
              </w:rPr>
              <w:t>e·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attribuzioni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gestione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dell’Associazione;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  <w:highlight w:val="yellow"/>
              </w:rPr>
              <w:t>l) delibera sulle materie di sua competenza per altre disposizioni del presente Statuto o per legge e ratifica, ove ritenuto necessario od utile, le decisioni assunte dal Coordinatore</w:t>
            </w:r>
            <w:r w:rsidR="009F039A">
              <w:rPr>
                <w:rFonts w:ascii="Garamond" w:hAnsi="Garamond"/>
              </w:rPr>
              <w:t>;</w:t>
            </w:r>
          </w:p>
          <w:p w:rsidR="009F039A" w:rsidRDefault="009F039A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9F039A">
              <w:rPr>
                <w:rFonts w:ascii="Garamond" w:hAnsi="Garamond"/>
                <w:highlight w:val="green"/>
              </w:rPr>
              <w:t>m) dispone, con le modalità ritenute più opportune, condizioni e modalità di versamento dei contributi sociali o, all’unanimità, la rinuncia alla quota associativa o a parte di essa nei confronti di uno o più associati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volta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l’anno,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chiusura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lastRenderedPageBreak/>
              <w:t>l’approvazione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consuntivo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redatto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–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Tesoriere.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altresì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entro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31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ottobre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l’approvazione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preventivo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(Assemblea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straordinaria)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30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modifiche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statutarie,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proroga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scioglimento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anticipato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9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(Voti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–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Costituzione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dell’Assemblea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–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Validità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delle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deliberazioni)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esprimere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validamente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voto;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diritto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approvate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favorevole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maggioranza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favorevole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tanti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rappresentino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almeno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voti.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votazioni,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normalmente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alzata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mano,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sempreché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semplice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maggioranza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disponga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diversamente,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decisione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prendersi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alzata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mano.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professionale,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farsi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scritta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rilasciata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all’uopo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proprio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contenente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espressa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persona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delegata,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conservarsi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parte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conferita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singole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effetto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convocazioni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10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(Coordinatore)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eletto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aderenti.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decade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scadenza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qualsiasi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causa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lastRenderedPageBreak/>
              <w:t>Collegio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appartenenza.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esprime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all’esterno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posizione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pensiero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sentiti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tecnici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specifici,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afferenti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un’Area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delegherà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esprimere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all’esterno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posizione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pensiero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corrispondente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sottoporre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all’esame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presiede,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salvo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ha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firma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rappresentanza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legale,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giudizio,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11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(Referenti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d’Area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tematica,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Segretario-Tesoriere)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prima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seduta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successiva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vengono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definite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conseguentemente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eletti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Presidenti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Collegi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aderenti.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durano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mezzo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decadono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stabilito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all’articolo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10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sostituito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Referente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tematica,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anzianità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età,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assenza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impedimento.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svolge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funzione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verbalizzazione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adunanze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sottoscrive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verbali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insieme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Coordinatore.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tenuta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libri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verbali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Assemblee,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nonché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libro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Segretario-Tesoriere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gestione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cassa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contabilità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Redige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l’inventario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beni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vigila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regolarità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riscossioni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deliberazioni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dell’Assemblea.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  <w:sz w:val="44"/>
                <w:szCs w:val="44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(Revisore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dei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conti)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nominato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essere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revocato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giusta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causa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rieleggibile.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L’emolumento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fissato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due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Revisore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vigila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sull’andamento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gestione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economica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finanziaria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riferisce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relazione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sul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consuntivo.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="Garamond" w:hAnsi="Garamond"/>
              </w:rPr>
            </w:pP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Style w:val="Enfasigrassetto"/>
                <w:rFonts w:ascii="Garamond" w:hAnsi="Garamond"/>
              </w:rPr>
              <w:lastRenderedPageBreak/>
              <w:t>Articolo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13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(Fondo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comune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–</w:t>
            </w:r>
            <w:r>
              <w:rPr>
                <w:rStyle w:val="Enfasigrassetto"/>
                <w:rFonts w:ascii="Garamond" w:hAnsi="Garamond"/>
              </w:rPr>
              <w:t xml:space="preserve"> </w:t>
            </w:r>
            <w:r w:rsidRPr="00603D22">
              <w:rPr>
                <w:rStyle w:val="Enfasigrassetto"/>
                <w:rFonts w:ascii="Garamond" w:hAnsi="Garamond"/>
              </w:rPr>
              <w:t>Contributi)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comune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costituito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norma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legge.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2.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L’esercizio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corrispondente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all’anno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solare.</w:t>
            </w:r>
            <w:r>
              <w:rPr>
                <w:rFonts w:ascii="Garamond" w:hAnsi="Garamond"/>
              </w:rPr>
              <w:t xml:space="preserve"> 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3.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Ogni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tenuto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corresponsione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annuale</w:t>
            </w:r>
            <w:r w:rsidR="009F039A">
              <w:rPr>
                <w:rFonts w:ascii="Garamond" w:hAnsi="Garamond"/>
              </w:rPr>
              <w:t xml:space="preserve">, </w:t>
            </w:r>
            <w:r w:rsidR="009F039A" w:rsidRPr="009F039A">
              <w:rPr>
                <w:rFonts w:ascii="Garamond" w:hAnsi="Garamond"/>
                <w:highlight w:val="green"/>
              </w:rPr>
              <w:t>salvo eventuali esoneri</w:t>
            </w:r>
            <w:r w:rsidR="009F039A">
              <w:rPr>
                <w:rFonts w:ascii="Garamond" w:hAnsi="Garamond"/>
                <w:highlight w:val="green"/>
              </w:rPr>
              <w:t xml:space="preserve"> o riduzioni</w:t>
            </w:r>
            <w:r w:rsidR="009F039A" w:rsidRPr="009F039A">
              <w:rPr>
                <w:rFonts w:ascii="Garamond" w:hAnsi="Garamond"/>
                <w:highlight w:val="green"/>
              </w:rPr>
              <w:t xml:space="preserve"> deliberat</w:t>
            </w:r>
            <w:r w:rsidR="009F039A">
              <w:rPr>
                <w:rFonts w:ascii="Garamond" w:hAnsi="Garamond"/>
                <w:highlight w:val="green"/>
              </w:rPr>
              <w:t>e</w:t>
            </w:r>
            <w:r w:rsidR="009F039A" w:rsidRPr="009F039A">
              <w:rPr>
                <w:rFonts w:ascii="Garamond" w:hAnsi="Garamond"/>
                <w:highlight w:val="green"/>
              </w:rPr>
              <w:t xml:space="preserve"> dall’Assemblea ordinaria</w:t>
            </w:r>
            <w:r w:rsidRPr="00603D22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L’ammontare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complessivo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stabilito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precedentemente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occasione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dell’approvazione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bilancio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preventivo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all’articolo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art.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7,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1,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lett.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presente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Statuto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così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ripartito:</w:t>
            </w:r>
            <w:r w:rsidRPr="00603D22">
              <w:rPr>
                <w:rFonts w:ascii="Garamond" w:hAnsi="Garamond"/>
              </w:rPr>
              <w:br/>
              <w:t>a)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quaranta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(40%)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complessivo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annuo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ripartito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quote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uguali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tutti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Associati;</w:t>
            </w:r>
            <w:r w:rsidRPr="00603D22">
              <w:rPr>
                <w:rFonts w:ascii="Garamond" w:hAnsi="Garamond"/>
              </w:rPr>
              <w:br/>
              <w:t>b)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sessanta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(60%)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è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ripartito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Consigli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Nazionali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funzione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numero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rispettivi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iscritti,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viene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rilevato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31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dicembre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ciascun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anno.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4.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corso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dell’esercizio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l’Assemblea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straordinaria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può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deliberare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versamento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speciali,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cui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ripartizione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avviene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secondo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criteri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indicati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3.</w:t>
            </w:r>
          </w:p>
          <w:p w:rsid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5.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L’Associazione</w:t>
            </w:r>
            <w:r>
              <w:rPr>
                <w:rFonts w:ascii="Garamond" w:hAnsi="Garamond"/>
              </w:rPr>
              <w:t xml:space="preserve"> </w:t>
            </w:r>
            <w:r w:rsidRPr="009F039A">
              <w:rPr>
                <w:rFonts w:ascii="Garamond" w:hAnsi="Garamond"/>
                <w:highlight w:val="green"/>
              </w:rPr>
              <w:t xml:space="preserve">può </w:t>
            </w:r>
            <w:r w:rsidR="009F039A" w:rsidRPr="009F039A">
              <w:rPr>
                <w:rFonts w:ascii="Garamond" w:hAnsi="Garamond"/>
                <w:highlight w:val="green"/>
              </w:rPr>
              <w:t>ricevere corrispettivi per l’attività eventualmente svolta a favore di terzi</w:t>
            </w:r>
            <w:r w:rsidR="009F039A">
              <w:rPr>
                <w:rFonts w:ascii="Garamond" w:hAnsi="Garamond"/>
                <w:highlight w:val="green"/>
              </w:rPr>
              <w:t xml:space="preserve"> o degli associati</w:t>
            </w:r>
            <w:bookmarkStart w:id="0" w:name="_GoBack"/>
            <w:bookmarkEnd w:id="0"/>
            <w:r w:rsidR="009F039A" w:rsidRPr="009F039A">
              <w:rPr>
                <w:rFonts w:ascii="Garamond" w:hAnsi="Garamond"/>
                <w:highlight w:val="green"/>
              </w:rPr>
              <w:t xml:space="preserve"> o</w:t>
            </w:r>
            <w:r w:rsidR="009F039A"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accettare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anche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eventuali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terzi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erogati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per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sostenere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l’attività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istituzionale.</w:t>
            </w:r>
          </w:p>
          <w:p w:rsidR="00603D22" w:rsidRPr="00603D22" w:rsidRDefault="00603D22" w:rsidP="00603D2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 w:rsidRPr="00603D22">
              <w:rPr>
                <w:rFonts w:ascii="Garamond" w:hAnsi="Garamond"/>
              </w:rPr>
              <w:t>6.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Le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quote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contributi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associativi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riscossi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dall’Associazione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norma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dei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commi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precedenti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non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sono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trasmissibili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ad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altri</w:t>
            </w:r>
            <w:r>
              <w:rPr>
                <w:rFonts w:ascii="Garamond" w:hAnsi="Garamond"/>
              </w:rPr>
              <w:t xml:space="preserve"> </w:t>
            </w:r>
            <w:r w:rsidRPr="00603D22">
              <w:rPr>
                <w:rFonts w:ascii="Garamond" w:hAnsi="Garamond"/>
              </w:rPr>
              <w:t>soggetti.</w:t>
            </w:r>
          </w:p>
          <w:p w:rsidR="00603D22" w:rsidRPr="00603D22" w:rsidRDefault="00603D22" w:rsidP="00603D22">
            <w:pPr>
              <w:rPr>
                <w:sz w:val="24"/>
                <w:szCs w:val="24"/>
              </w:rPr>
            </w:pPr>
          </w:p>
        </w:tc>
      </w:tr>
      <w:tr w:rsidR="00603D22" w:rsidRPr="00603D22" w:rsidTr="00603D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392" w:type="dxa"/>
            <w:gridSpan w:val="2"/>
          </w:tcPr>
          <w:p w:rsidR="00603D22" w:rsidRPr="00603D22" w:rsidRDefault="00603D22" w:rsidP="00603D22">
            <w:pPr>
              <w:rPr>
                <w:sz w:val="24"/>
                <w:szCs w:val="24"/>
              </w:rPr>
            </w:pPr>
          </w:p>
        </w:tc>
      </w:tr>
    </w:tbl>
    <w:p w:rsidR="008C53C5" w:rsidRPr="00603D22" w:rsidRDefault="008C53C5">
      <w:pPr>
        <w:rPr>
          <w:sz w:val="24"/>
          <w:szCs w:val="24"/>
        </w:rPr>
      </w:pPr>
    </w:p>
    <w:sectPr w:rsidR="008C53C5" w:rsidRPr="00603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22"/>
    <w:rsid w:val="00275701"/>
    <w:rsid w:val="00327998"/>
    <w:rsid w:val="005931B8"/>
    <w:rsid w:val="005B085B"/>
    <w:rsid w:val="00603D22"/>
    <w:rsid w:val="008C53C5"/>
    <w:rsid w:val="009F039A"/>
    <w:rsid w:val="00A84750"/>
    <w:rsid w:val="00A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7FC88-C2D7-451E-A856-6C33E6A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0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03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4703</Words>
  <Characters>26812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 - DLCI</Company>
  <LinksUpToDate>false</LinksUpToDate>
  <CharactersWithSpaces>31453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Rossi</dc:creator>
  <cp:keywords/>
  <dc:description/>
  <cp:lastModifiedBy>Mario Rossi</cp:lastModifiedBy>
  <cp:revision>2</cp:revision>
  <dcterms:created xsi:type="dcterms:W3CDTF">2018-09-25T09:33:00Z</dcterms:created>
  <dcterms:modified xsi:type="dcterms:W3CDTF">2018-09-25T09:33:00Z</dcterms:modified>
</cp:coreProperties>
</file>